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结项格式</w:t>
      </w:r>
    </w:p>
    <w:bookmarkEnd w:id="4"/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1.结项材料要按统一要求印制，格式不符的资料不予接收。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2.结项材料顺序依次为：封面、查重报告、目录、内容提要、正文、参考文献，左侧胶装。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3.印制的规格。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成品：A4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封面：见版样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首页：见版样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尾页：见版样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字号：大标题用小二号方正小标宋简体，一级标题用小三号黑体，二级标题用四号楷体，三级标题用四号宋体加黑，正文用四号宋体。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正文：1.5倍行距，正文加页码。</w:t>
      </w:r>
    </w:p>
    <w:p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right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jc w:val="right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30"/>
          <w:szCs w:val="30"/>
          <w:lang w:val="en-US" w:eastAsia="zh-CN"/>
        </w:rPr>
      </w:pPr>
    </w:p>
    <w:p>
      <w:pPr>
        <w:jc w:val="right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sz w:val="30"/>
        </w:rPr>
        <w:pict>
          <v:rect id="矩形 1" o:spid="_x0000_s2052" o:spt="1" style="position:absolute;left:0pt;margin-left:-1.45pt;margin-top:8.35pt;height:38.45pt;width:171.1pt;z-index:251659264;v-text-anchor:middle;mso-width-relative:page;mso-height-relative:page;" fillcolor="#FFFFFF" filled="t" stroked="t" coordsize="21600,21600">
            <v:path/>
            <v:fill on="t" color2="#FFFFFF" focussize="0,0"/>
            <v:stroke weight="0.5pt"/>
            <v:imagedata o:title=""/>
            <o:lock v:ext="edit" grouping="f" rotation="f" text="f" aspectratio="f"/>
            <v:textbox>
              <w:txbxContent>
                <w:p>
                  <w:pPr>
                    <w:jc w:val="center"/>
                    <w:rPr>
                      <w:rFonts w:hint="default" w:ascii="宋体" w:hAnsi="宋体" w:eastAsia="宋体" w:cs="宋体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32"/>
                      <w:lang w:eastAsia="zh-CN"/>
                    </w:rPr>
                    <w:t>河南省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32"/>
                      <w:lang w:val="en-US" w:eastAsia="zh-CN"/>
                    </w:rPr>
                    <w:t>博物馆学会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32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cs="宋体"/>
                      <w:sz w:val="24"/>
                      <w:szCs w:val="32"/>
                      <w:lang w:val="en-US" w:eastAsia="zh-CN"/>
                    </w:rPr>
                    <w:t>XX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32"/>
                      <w:lang w:val="en-US" w:eastAsia="zh-CN"/>
                    </w:rPr>
                    <w:t>年度科研课题</w:t>
                  </w:r>
                </w:p>
              </w:txbxContent>
            </v:textbox>
          </v:rect>
        </w:pic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HBXH-2023-序号</w:t>
      </w: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版样：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多源流框架下雾霾治理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府际合作的生成逻辑</w:t>
      </w: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jc w:val="both"/>
        <w:rPr>
          <w:rFonts w:hint="default" w:ascii="Times New Roman" w:hAnsi="Times New Roman" w:eastAsia="楷体" w:cs="Times New Roman"/>
          <w:sz w:val="30"/>
          <w:szCs w:val="30"/>
          <w:lang w:val="en-US" w:eastAsia="zh-CN"/>
        </w:rPr>
      </w:pPr>
    </w:p>
    <w:p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课题主持人：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课题组成员：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主持人单位：</w:t>
      </w:r>
      <w:r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  <w:t xml:space="preserve">                          </w:t>
      </w:r>
    </w:p>
    <w:p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ind w:firstLine="1200" w:firstLineChars="400"/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jc w:val="both"/>
        <w:rPr>
          <w:rFonts w:hint="eastAsia" w:ascii="Times New Roman" w:hAnsi="Times New Roman" w:eastAsia="楷体" w:cs="Times New Roman"/>
          <w:sz w:val="30"/>
          <w:szCs w:val="30"/>
          <w:u w:val="single"/>
          <w:lang w:val="en-US" w:eastAsia="zh-CN"/>
        </w:rPr>
      </w:pPr>
    </w:p>
    <w:p>
      <w:pPr>
        <w:jc w:val="center"/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  <w:t>20**年**月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" w:cs="Times New Roman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查重报告（版样）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</w:pPr>
    </w:p>
    <w:p>
      <w:pPr>
        <w:spacing w:before="156" w:beforeLines="50" w:after="156" w:afterLines="50" w:line="360" w:lineRule="auto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drawing>
          <wp:inline distT="0" distB="0" distL="114300" distR="114300">
            <wp:extent cx="5290185" cy="6546850"/>
            <wp:effectExtent l="0" t="0" r="5715" b="6350"/>
            <wp:docPr id="1" name="图片 1" descr="cf4706f1e51841dfe495a1cd2b98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4706f1e51841dfe495a1cd2b985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654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>
      <w:pPr>
        <w:pStyle w:val="4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案例描述与多源流分析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sz w:val="28"/>
          <w:szCs w:val="28"/>
        </w:rPr>
        <w:t>案例描述及其典型性分析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案例描述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典型性分析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</w:rPr>
        <w:t>8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研究设计与资料来源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……………………………………………</w:t>
      </w:r>
      <w:r>
        <w:rPr>
          <w:rFonts w:hint="eastAsia" w:ascii="宋体" w:hAnsi="宋体" w:eastAsia="宋体" w:cs="宋体"/>
          <w:sz w:val="28"/>
          <w:szCs w:val="28"/>
        </w:rPr>
        <w:t>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研究设计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</w:t>
      </w:r>
      <w:r>
        <w:rPr>
          <w:rFonts w:hint="eastAsia" w:ascii="宋体" w:hAnsi="宋体" w:eastAsia="宋体" w:cs="宋体"/>
          <w:sz w:val="28"/>
          <w:szCs w:val="28"/>
        </w:rPr>
        <w:t>9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"_Toc477033390"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2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.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资料来源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9</w:t>
      </w:r>
    </w:p>
    <w:p>
      <w:pPr>
        <w:pStyle w:val="8"/>
        <w:tabs>
          <w:tab w:val="right" w:leader="dot" w:pos="906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"_Toc477033391"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（三）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案例的多源流分析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9</w:t>
      </w:r>
    </w:p>
    <w:p>
      <w:pPr>
        <w:pStyle w:val="8"/>
        <w:tabs>
          <w:tab w:val="right" w:leader="dot" w:pos="906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"_Toc477033396"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（四）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多源流分析的结果呈现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</w:t>
      </w:r>
    </w:p>
    <w:p>
      <w:pPr>
        <w:pStyle w:val="7"/>
        <w:jc w:val="left"/>
        <w:rPr>
          <w:rFonts w:hint="eastAsia" w:ascii="宋体" w:hAnsi="宋体" w:eastAsia="宋体" w:cs="宋体"/>
          <w:bCs w:val="0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"_Toc477033397"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二、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研究结果讨论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………………………………………………………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6</w:t>
      </w:r>
    </w:p>
    <w:p>
      <w:pPr>
        <w:pStyle w:val="8"/>
        <w:tabs>
          <w:tab w:val="right" w:leader="dot" w:pos="906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"_Toc477033398"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（一）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多源流框架下雾霾治理府际合作的生成逻辑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6</w:t>
      </w:r>
    </w:p>
    <w:p>
      <w:pPr>
        <w:pStyle w:val="8"/>
        <w:tabs>
          <w:tab w:val="right" w:leader="dot" w:pos="906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"_Toc477033402"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（二）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多源流框架下避害型府际合作的特征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…………………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9</w:t>
      </w:r>
    </w:p>
    <w:p>
      <w:pPr>
        <w:pStyle w:val="7"/>
        <w:jc w:val="left"/>
        <w:rPr>
          <w:rFonts w:hint="eastAsia" w:ascii="宋体" w:hAnsi="宋体" w:eastAsia="宋体" w:cs="宋体"/>
          <w:bCs w:val="0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"_Toc477033403"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三、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多源流框架下雾霾治理府际合作生成的对策建议</w:t>
      </w:r>
      <w:r>
        <w:rPr>
          <w:rStyle w:val="13"/>
          <w:rFonts w:hint="eastAsia" w:ascii="宋体" w:hAnsi="宋体" w:eastAsia="宋体" w:cs="宋体"/>
          <w:color w:val="auto"/>
          <w:spacing w:val="1"/>
          <w:w w:val="91"/>
          <w:kern w:val="0"/>
          <w:sz w:val="28"/>
          <w:szCs w:val="28"/>
          <w:u w:val="none"/>
          <w:fitText w:val="1540" w:id="488060037"/>
          <w:lang w:eastAsia="zh-CN"/>
        </w:rPr>
        <w:t>………………</w:t>
      </w:r>
      <w:r>
        <w:rPr>
          <w:rStyle w:val="13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</w:t>
      </w:r>
    </w:p>
    <w:p>
      <w:pPr>
        <w:pStyle w:val="8"/>
        <w:tabs>
          <w:tab w:val="right" w:leader="dot" w:pos="906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"_Toc477033404"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（一）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关注问题源流巩固合作基础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…………………………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</w:t>
      </w:r>
    </w:p>
    <w:p>
      <w:pPr>
        <w:pStyle w:val="8"/>
        <w:tabs>
          <w:tab w:val="right" w:leader="dot" w:pos="906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"_Toc477033407"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（二）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借助政治源流提升合作效率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…………………………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3</w:t>
      </w:r>
    </w:p>
    <w:p>
      <w:pPr>
        <w:pStyle w:val="8"/>
        <w:tabs>
          <w:tab w:val="right" w:leader="dot" w:pos="9060"/>
        </w:tabs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"_Toc477033410"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（三）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丰富政策源流拓宽合作渠道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…………………………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</w:t>
      </w:r>
    </w:p>
    <w:p>
      <w:pPr>
        <w:pStyle w:val="7"/>
        <w:jc w:val="left"/>
        <w:rPr>
          <w:rFonts w:hint="eastAsia" w:ascii="宋体" w:hAnsi="宋体" w:eastAsia="宋体" w:cs="宋体"/>
          <w:bCs w:val="0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"_Toc477033413"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  <w:lang w:eastAsia="zh-CN"/>
        </w:rPr>
        <w:t>四、</w:t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结论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7</w:t>
      </w:r>
    </w:p>
    <w:p>
      <w:pPr>
        <w:pStyle w:val="7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u w:val="none"/>
        </w:rPr>
        <w:instrText xml:space="preserve"> HYPERLINK \l "_Toc477033414" </w:instrTex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separate"/>
      </w:r>
      <w:r>
        <w:rPr>
          <w:rStyle w:val="13"/>
          <w:rFonts w:hint="eastAsia" w:ascii="宋体" w:hAnsi="宋体" w:eastAsia="宋体" w:cs="宋体"/>
          <w:color w:val="auto"/>
          <w:sz w:val="28"/>
          <w:szCs w:val="28"/>
          <w:u w:val="none"/>
        </w:rPr>
        <w:t>参考文献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………………………………………………………………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内容提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eastAsia="宋体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在雾霾日益严重的情况下，雾霾治理迫在眉睫。雾霾是一个复杂的公共治理问题，任何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单一、片面的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治理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都是无力的，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需要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进行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系统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统筹。在长期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理论与实践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探索中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，府际合作、联防联控成为了应对雾霾问题的理性选择。然而在现实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生活中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，雾霾治理府际合作有时较为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容易生成，有时却难以生成，因此，探究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雾霾治理府际合作的生成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因素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就具有一定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的理论意义与现实意义。</w:t>
      </w:r>
      <w:r>
        <w:rPr>
          <w:rFonts w:hint="eastAsia" w:ascii="Times New Roman" w:hAnsi="Times New Roman" w:cs="Times New Roman"/>
          <w:snapToGrid w:val="0"/>
          <w:sz w:val="28"/>
          <w:szCs w:val="28"/>
          <w:lang w:eastAsia="zh-CN"/>
        </w:rPr>
        <w:t>……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因此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，对京津冀大气污染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联防联控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进行系统的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梳理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与分析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，探究其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生成逻辑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，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对于我国雾霾治理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的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府际合作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的形成具有重要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启示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与指导作用。</w:t>
      </w:r>
    </w:p>
    <w:p>
      <w:pPr>
        <w:spacing w:line="360" w:lineRule="auto"/>
        <w:ind w:firstLine="560" w:firstLineChars="200"/>
        <w:rPr>
          <w:rFonts w:ascii="Times New Roman" w:hAnsi="Times New Roman" w:eastAsia="宋体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基于此，本文在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多源流理论与府际合作理论的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基础上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，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构建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了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多源流框架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下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雾霾治理府际合作的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分析框架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。借用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多源流理论的理念，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以雾霾污染的范围、持续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时长、污染的程度为问题流，</w:t>
      </w:r>
      <w:r>
        <w:rPr>
          <w:rFonts w:hint="eastAsia" w:ascii="Times New Roman" w:hAnsi="Times New Roman" w:cs="Times New Roman"/>
          <w:snapToGrid w:val="0"/>
          <w:sz w:val="28"/>
          <w:szCs w:val="28"/>
          <w:lang w:eastAsia="zh-CN"/>
        </w:rPr>
        <w:t>……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随后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，对避害型府际合作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与趋利型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府际合作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进行了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对比分析，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总结出了我国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避害型府际合作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本身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所具有的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政治性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、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外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生性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、组织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性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等特点，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并在此基础上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结合源流间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相互影响的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逻辑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，提出了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关注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问题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源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流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巩固合作基础、借助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政治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源流提升合作效率和丰富政策源流拓宽合作渠道的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多源流框架下雾霾治理府际合作</w:t>
      </w:r>
      <w:r>
        <w:rPr>
          <w:rFonts w:hint="eastAsia" w:ascii="Times New Roman" w:hAnsi="Times New Roman" w:eastAsia="宋体" w:cs="Times New Roman"/>
          <w:snapToGrid w:val="0"/>
          <w:sz w:val="28"/>
          <w:szCs w:val="28"/>
        </w:rPr>
        <w:t>的</w:t>
      </w:r>
      <w:r>
        <w:rPr>
          <w:rFonts w:ascii="Times New Roman" w:hAnsi="Times New Roman" w:eastAsia="宋体" w:cs="Times New Roman"/>
          <w:snapToGrid w:val="0"/>
          <w:sz w:val="28"/>
          <w:szCs w:val="28"/>
        </w:rPr>
        <w:t>建议。</w:t>
      </w:r>
    </w:p>
    <w:p>
      <w:pPr>
        <w:spacing w:line="360" w:lineRule="auto"/>
        <w:ind w:firstLine="562" w:firstLineChars="200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关键词</w:t>
      </w:r>
      <w:r>
        <w:rPr>
          <w:rFonts w:ascii="Times New Roman" w:hAnsi="Times New Roman" w:eastAsia="黑体" w:cs="Times New Roman"/>
          <w:sz w:val="28"/>
          <w:szCs w:val="28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</w:rPr>
        <w:t>多源流</w:t>
      </w:r>
      <w:r>
        <w:rPr>
          <w:rFonts w:ascii="Times New Roman" w:hAnsi="Times New Roman" w:eastAsia="宋体" w:cs="Times New Roman"/>
          <w:sz w:val="28"/>
          <w:szCs w:val="28"/>
        </w:rPr>
        <w:t>；</w:t>
      </w:r>
      <w:r>
        <w:rPr>
          <w:rFonts w:hint="eastAsia" w:ascii="Times New Roman" w:hAnsi="Times New Roman" w:eastAsia="宋体" w:cs="Times New Roman"/>
          <w:sz w:val="28"/>
          <w:szCs w:val="28"/>
        </w:rPr>
        <w:t>雾霾治理</w:t>
      </w:r>
      <w:r>
        <w:rPr>
          <w:rFonts w:ascii="Times New Roman" w:hAnsi="Times New Roman" w:eastAsia="宋体" w:cs="Times New Roman"/>
          <w:sz w:val="28"/>
          <w:szCs w:val="28"/>
        </w:rPr>
        <w:t>；</w:t>
      </w:r>
      <w:r>
        <w:rPr>
          <w:rFonts w:hint="eastAsia" w:ascii="Times New Roman" w:hAnsi="Times New Roman" w:eastAsia="宋体" w:cs="Times New Roman"/>
          <w:sz w:val="28"/>
          <w:szCs w:val="28"/>
        </w:rPr>
        <w:t>府际合作；</w:t>
      </w:r>
      <w:r>
        <w:rPr>
          <w:rFonts w:ascii="Times New Roman" w:hAnsi="Times New Roman" w:eastAsia="宋体" w:cs="Times New Roman"/>
          <w:sz w:val="28"/>
          <w:szCs w:val="28"/>
        </w:rPr>
        <w:t>京津冀大气污染联防联控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sectPr>
          <w:footerReference r:id="rId3" w:type="default"/>
          <w:pgSz w:w="11906" w:h="16838"/>
          <w:pgMar w:top="1213" w:right="1803" w:bottom="1213" w:left="1803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多源流框架下雾霾治理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府际合作的生成逻辑</w:t>
      </w:r>
    </w:p>
    <w:p>
      <w:pPr>
        <w:jc w:val="center"/>
        <w:rPr>
          <w:rFonts w:hint="default" w:ascii="Times New Roman" w:hAnsi="Times New Roman" w:eastAsia="楷体" w:cs="Times New Roman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一、案例描述与多源流分析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（一）</w:t>
      </w:r>
      <w:r>
        <w:rPr>
          <w:rFonts w:hint="eastAsia" w:ascii="楷体" w:hAnsi="楷体" w:eastAsia="楷体" w:cs="楷体"/>
          <w:sz w:val="28"/>
          <w:szCs w:val="28"/>
        </w:rPr>
        <w:t>案例描述及其典型性分析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案例描述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2010年5月国务院办公厅下发了《关于推进大气污染联防联控工作改善区域空气质量的指导意见》。《意见》指出要按照“统一规划、统一监测、统一监管、统一评估、统一协调”的指导思想在京津冀开展大气污染联防联控工作，到2015年建成大气污染联防联控机制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[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。京津冀大气污染联防联控的概念正式提出。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其实，早在2008年北京奥运会时期，京津冀及其周边省市就进行了大气污染联防联控的实践。为保证奥运会的空气质量，北京进行了一系列的改造。在改善能源结构方面，北京城区2007年的天然气供应量是2000年的4倍，并完成了1.6万台锅炉改造；在控制机动车污染方面，淘汰了1万辆未达标公交车，5万辆未达标出租车；在调整工业结构方面，搬迁了144家污染企业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……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然而，上述措施本身具有明显的非常态化的特征，不可能长期坚持，且上述措施基本属于课题研究性质，在奥运会结束后，也随之结束。但随后不久，严重影响人们生产、生活的雾霾问题便让联控联控这一措施由被重新激活。自2011年起，华北地区的雾霾问题就逐渐变得严重起来，但并未引起人们应有的关注。</w:t>
      </w:r>
      <w:bookmarkStart w:id="0" w:name="_Toc345138896"/>
      <w:bookmarkStart w:id="1" w:name="_Toc341875585"/>
      <w:bookmarkStart w:id="2" w:name="_Toc421991265"/>
      <w:bookmarkStart w:id="3" w:name="_Toc477033414"/>
      <w:r>
        <w:rPr>
          <w:rFonts w:hint="eastAsia" w:ascii="宋体" w:hAnsi="宋体" w:eastAsia="宋体" w:cs="宋体"/>
          <w:sz w:val="28"/>
          <w:szCs w:val="28"/>
          <w:lang w:eastAsia="zh-CN"/>
        </w:rPr>
        <w:t>……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zh-CN" w:eastAsia="zh-CN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zh-CN" w:eastAsia="zh-CN"/>
        </w:rPr>
        <w:t>参考文献</w:t>
      </w:r>
      <w:bookmarkEnd w:id="0"/>
      <w:bookmarkEnd w:id="1"/>
      <w:bookmarkEnd w:id="2"/>
      <w:bookmarkEnd w:id="3"/>
    </w:p>
    <w:p>
      <w:pPr>
        <w:spacing w:line="360" w:lineRule="auto"/>
        <w:ind w:firstLine="640" w:firstLineChars="200"/>
        <w:jc w:val="center"/>
        <w:rPr>
          <w:rFonts w:ascii="Times New Roman" w:hAnsi="Times New Roman" w:eastAsia="黑体" w:cs="Times New Roman"/>
          <w:bCs/>
          <w:kern w:val="0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[1</w:t>
      </w:r>
      <w:r>
        <w:rPr>
          <w:rFonts w:hint="eastAsia" w:ascii="Times New Roman" w:hAnsi="Times New Roman" w:eastAsia="宋体" w:cs="Times New Roman"/>
          <w:sz w:val="28"/>
          <w:szCs w:val="28"/>
        </w:rPr>
        <w:t>]</w:t>
      </w:r>
      <w:r>
        <w:rPr>
          <w:rFonts w:ascii="Times New Roman" w:hAnsi="Times New Roman" w:eastAsia="宋体" w:cs="Times New Roman"/>
          <w:sz w:val="28"/>
          <w:szCs w:val="28"/>
        </w:rPr>
        <w:t xml:space="preserve"> 张国伟</w:t>
      </w:r>
      <w:r>
        <w:rPr>
          <w:rFonts w:hint="eastAsia" w:ascii="Times New Roman" w:hAnsi="Times New Roman" w:eastAsia="宋体" w:cs="Times New Roman"/>
          <w:sz w:val="28"/>
          <w:szCs w:val="28"/>
        </w:rPr>
        <w:t>.</w:t>
      </w:r>
      <w:r>
        <w:rPr>
          <w:rFonts w:ascii="Times New Roman" w:hAnsi="Times New Roman" w:eastAsia="宋体" w:cs="Times New Roman"/>
          <w:sz w:val="28"/>
          <w:szCs w:val="28"/>
        </w:rPr>
        <w:t>北京拉响雾霾红色</w:t>
      </w:r>
      <w:r>
        <w:rPr>
          <w:rFonts w:hint="eastAsia" w:ascii="Times New Roman" w:hAnsi="Times New Roman" w:eastAsia="宋体" w:cs="Times New Roman"/>
          <w:sz w:val="28"/>
          <w:szCs w:val="28"/>
        </w:rPr>
        <w:t>预警</w:t>
      </w:r>
      <w:r>
        <w:rPr>
          <w:rFonts w:ascii="Times New Roman" w:hAnsi="Times New Roman" w:eastAsia="宋体" w:cs="Times New Roman"/>
          <w:sz w:val="28"/>
          <w:szCs w:val="28"/>
        </w:rPr>
        <w:t>[N].</w:t>
      </w:r>
      <w:r>
        <w:rPr>
          <w:rFonts w:hint="eastAsia" w:ascii="Times New Roman" w:hAnsi="Times New Roman" w:eastAsia="宋体" w:cs="Times New Roman"/>
          <w:sz w:val="28"/>
          <w:szCs w:val="28"/>
        </w:rPr>
        <w:t>新闻晨</w:t>
      </w:r>
      <w:r>
        <w:rPr>
          <w:rFonts w:ascii="Times New Roman" w:hAnsi="Times New Roman" w:eastAsia="宋体" w:cs="Times New Roman"/>
          <w:sz w:val="28"/>
          <w:szCs w:val="28"/>
        </w:rPr>
        <w:t>报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2016-12-17(A06).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[2] Zhu Chen</w:t>
      </w:r>
      <w:r>
        <w:rPr>
          <w:rFonts w:hint="eastAsia" w:ascii="Times New Roman" w:hAnsi="Times New Roman" w:eastAsia="宋体" w:cs="Times New Roman"/>
          <w:sz w:val="28"/>
          <w:szCs w:val="28"/>
        </w:rPr>
        <w:t>,</w:t>
      </w:r>
      <w:r>
        <w:rPr>
          <w:rFonts w:ascii="Times New Roman" w:hAnsi="Times New Roman" w:eastAsia="宋体" w:cs="Times New Roman"/>
          <w:sz w:val="28"/>
          <w:szCs w:val="28"/>
        </w:rPr>
        <w:t xml:space="preserve"> Jin-Nan Wang,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Guo-Xia Ma. China tackles the health effects of air pollution [J].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The Lancet</w:t>
      </w:r>
      <w:r>
        <w:rPr>
          <w:rFonts w:ascii="Times New Roman" w:hAnsi="Times New Roman" w:eastAsia="宋体" w:cs="Times New Roman"/>
          <w:sz w:val="28"/>
          <w:szCs w:val="28"/>
        </w:rPr>
        <w:t>, 2013(382):1959–1960.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[3]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李辉</w:t>
      </w:r>
      <w:r>
        <w:rPr>
          <w:rFonts w:ascii="Times New Roman" w:hAnsi="Times New Roman" w:eastAsia="宋体" w:cs="Times New Roman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</w:rPr>
        <w:t>雾霾协同治理需解决三大问题</w:t>
      </w:r>
      <w:r>
        <w:rPr>
          <w:rFonts w:ascii="Times New Roman" w:hAnsi="Times New Roman" w:eastAsia="宋体" w:cs="Times New Roman"/>
          <w:sz w:val="28"/>
          <w:szCs w:val="28"/>
        </w:rPr>
        <w:t>[J].</w:t>
      </w:r>
      <w:r>
        <w:rPr>
          <w:rFonts w:hint="eastAsia" w:ascii="Times New Roman" w:hAnsi="Times New Roman" w:eastAsia="宋体" w:cs="Times New Roman"/>
          <w:sz w:val="28"/>
          <w:szCs w:val="28"/>
        </w:rPr>
        <w:t>中国机构改革与管理</w:t>
      </w:r>
      <w:r>
        <w:rPr>
          <w:rFonts w:ascii="Times New Roman" w:hAnsi="Times New Roman" w:eastAsia="宋体" w:cs="Times New Roman"/>
          <w:sz w:val="28"/>
          <w:szCs w:val="28"/>
        </w:rPr>
        <w:t>,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2015(</w:t>
      </w:r>
      <w:r>
        <w:rPr>
          <w:rFonts w:ascii="Times New Roman" w:hAnsi="Times New Roman" w:eastAsia="宋体" w:cs="Times New Roman"/>
          <w:sz w:val="28"/>
          <w:szCs w:val="28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</w:rPr>
        <w:t>)</w:t>
      </w:r>
      <w:r>
        <w:rPr>
          <w:rFonts w:ascii="Times New Roman" w:hAnsi="Times New Roman" w:eastAsia="宋体" w:cs="Times New Roman"/>
          <w:sz w:val="28"/>
          <w:szCs w:val="28"/>
        </w:rPr>
        <w:t>:</w:t>
      </w:r>
      <w:r>
        <w:rPr>
          <w:rFonts w:hint="eastAsia" w:ascii="Times New Roman" w:hAnsi="Times New Roman" w:eastAsia="宋体" w:cs="Times New Roman"/>
          <w:sz w:val="28"/>
          <w:szCs w:val="28"/>
        </w:rPr>
        <w:t>9</w:t>
      </w:r>
      <w:r>
        <w:rPr>
          <w:rFonts w:ascii="Times New Roman" w:hAnsi="Times New Roman" w:eastAsia="宋体" w:cs="Times New Roman"/>
          <w:sz w:val="28"/>
          <w:szCs w:val="28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[4] 约翰·W·金登.</w:t>
      </w:r>
      <w:r>
        <w:rPr>
          <w:rFonts w:hint="eastAsia" w:ascii="Times New Roman" w:hAnsi="Times New Roman" w:eastAsia="宋体" w:cs="Times New Roman"/>
          <w:sz w:val="28"/>
          <w:szCs w:val="28"/>
        </w:rPr>
        <w:t>议程、备选方案与公共政策[</w:t>
      </w:r>
      <w:r>
        <w:rPr>
          <w:rFonts w:ascii="Times New Roman" w:hAnsi="Times New Roman" w:eastAsia="宋体" w:cs="Times New Roman"/>
          <w:sz w:val="28"/>
          <w:szCs w:val="28"/>
        </w:rPr>
        <w:t>M</w:t>
      </w:r>
      <w:r>
        <w:rPr>
          <w:rFonts w:hint="eastAsia" w:ascii="Times New Roman" w:hAnsi="Times New Roman" w:eastAsia="宋体" w:cs="Times New Roman"/>
          <w:sz w:val="28"/>
          <w:szCs w:val="28"/>
        </w:rPr>
        <w:t>]</w:t>
      </w:r>
      <w:r>
        <w:rPr>
          <w:rFonts w:ascii="Times New Roman" w:hAnsi="Times New Roman" w:eastAsia="宋体" w:cs="Times New Roman"/>
          <w:sz w:val="28"/>
          <w:szCs w:val="28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</w:rPr>
        <w:t>北京:</w:t>
      </w:r>
      <w:r>
        <w:rPr>
          <w:rFonts w:ascii="Times New Roman" w:hAnsi="Times New Roman" w:eastAsia="宋体" w:cs="Times New Roman"/>
          <w:sz w:val="28"/>
          <w:szCs w:val="28"/>
        </w:rPr>
        <w:t>中国人民大学出版社</w:t>
      </w:r>
      <w:r>
        <w:rPr>
          <w:rFonts w:hint="eastAsia" w:ascii="Times New Roman" w:hAnsi="Times New Roman" w:eastAsia="宋体" w:cs="Times New Roman"/>
          <w:sz w:val="28"/>
          <w:szCs w:val="28"/>
        </w:rPr>
        <w:t>,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</w:rPr>
        <w:t>2004</w:t>
      </w:r>
      <w:r>
        <w:rPr>
          <w:rFonts w:ascii="Times New Roman" w:hAnsi="Times New Roman" w:eastAsia="宋体" w:cs="Times New Roman"/>
          <w:sz w:val="28"/>
          <w:szCs w:val="28"/>
        </w:rPr>
        <w:t>:18.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[5] </w:t>
      </w:r>
      <w:r>
        <w:rPr>
          <w:rFonts w:hint="eastAsia" w:ascii="Times New Roman" w:hAnsi="Times New Roman" w:eastAsia="宋体" w:cs="Times New Roman"/>
          <w:sz w:val="28"/>
          <w:szCs w:val="28"/>
        </w:rPr>
        <w:t>保罗</w:t>
      </w:r>
      <w:r>
        <w:rPr>
          <w:rFonts w:ascii="Times New Roman" w:hAnsi="Times New Roman" w:eastAsia="宋体" w:cs="Times New Roman"/>
          <w:sz w:val="28"/>
          <w:szCs w:val="28"/>
        </w:rPr>
        <w:t>·</w:t>
      </w:r>
      <w:r>
        <w:rPr>
          <w:rFonts w:hint="eastAsia" w:ascii="Times New Roman" w:hAnsi="Times New Roman" w:eastAsia="宋体" w:cs="Times New Roman"/>
          <w:sz w:val="28"/>
          <w:szCs w:val="28"/>
        </w:rPr>
        <w:t>A</w:t>
      </w:r>
      <w:r>
        <w:rPr>
          <w:rFonts w:ascii="Times New Roman" w:hAnsi="Times New Roman" w:eastAsia="宋体" w:cs="Times New Roman"/>
          <w:sz w:val="28"/>
          <w:szCs w:val="28"/>
        </w:rPr>
        <w:t>·</w:t>
      </w:r>
      <w:r>
        <w:rPr>
          <w:rFonts w:hint="eastAsia" w:ascii="Times New Roman" w:hAnsi="Times New Roman" w:eastAsia="宋体" w:cs="Times New Roman"/>
          <w:sz w:val="28"/>
          <w:szCs w:val="28"/>
        </w:rPr>
        <w:t>萨巴蒂尔.政策过程理论[</w:t>
      </w:r>
      <w:r>
        <w:rPr>
          <w:rFonts w:ascii="Times New Roman" w:hAnsi="Times New Roman" w:eastAsia="宋体" w:cs="Times New Roman"/>
          <w:sz w:val="28"/>
          <w:szCs w:val="28"/>
        </w:rPr>
        <w:t>M].</w:t>
      </w:r>
      <w:r>
        <w:rPr>
          <w:rFonts w:hint="eastAsia" w:ascii="Times New Roman" w:hAnsi="Times New Roman" w:eastAsia="宋体" w:cs="Times New Roman"/>
          <w:sz w:val="28"/>
          <w:szCs w:val="28"/>
        </w:rPr>
        <w:t>北京:生活·读书·新知三联书店,</w:t>
      </w:r>
      <w:r>
        <w:rPr>
          <w:rFonts w:ascii="Times New Roman" w:hAnsi="Times New Roman" w:eastAsia="宋体" w:cs="Times New Roman"/>
          <w:sz w:val="28"/>
          <w:szCs w:val="28"/>
        </w:rPr>
        <w:t>2004:92.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[6] Charles Tiebout. A Pure Theory of Local Expenditures [J]. Journal of Political Economy, 1956(5):416-424.</w:t>
      </w:r>
    </w:p>
    <w:p>
      <w:pPr>
        <w:spacing w:line="360" w:lineRule="auto"/>
        <w:rPr>
          <w:rFonts w:hint="eastAsia" w:ascii="Times New Roman" w:hAnsi="Times New Roman"/>
          <w:sz w:val="24"/>
          <w:szCs w:val="24"/>
        </w:rPr>
      </w:pPr>
    </w:p>
    <w:p>
      <w:pPr>
        <w:spacing w:line="360" w:lineRule="auto"/>
        <w:rPr>
          <w:rFonts w:hint="eastAsia" w:ascii="Times New Roman" w:hAnsi="Times New Roman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楷体" w:hAnsi="楷体" w:eastAsia="楷体" w:cs="楷体"/>
          <w:b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楷体" w:cs="Times New Roman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楷体" w:cs="Times New Roman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20" w:firstLineChars="8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/>
    <w:p>
      <w:pPr>
        <w:pStyle w:val="3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RhM2JiMmQyZmFhNjU2MDg2MGQ0ZjAxMGU1MjkxMTAifQ=="/>
  </w:docVars>
  <w:rsids>
    <w:rsidRoot w:val="00112F89"/>
    <w:rsid w:val="00032F5D"/>
    <w:rsid w:val="000814DB"/>
    <w:rsid w:val="00081C60"/>
    <w:rsid w:val="000B4FA0"/>
    <w:rsid w:val="00112F89"/>
    <w:rsid w:val="00164F63"/>
    <w:rsid w:val="001B0D33"/>
    <w:rsid w:val="001D7D3C"/>
    <w:rsid w:val="002B6D46"/>
    <w:rsid w:val="003018F8"/>
    <w:rsid w:val="00325CC2"/>
    <w:rsid w:val="003F0674"/>
    <w:rsid w:val="00451490"/>
    <w:rsid w:val="004B15EB"/>
    <w:rsid w:val="004E110D"/>
    <w:rsid w:val="004E5E01"/>
    <w:rsid w:val="00501DCA"/>
    <w:rsid w:val="00536D5D"/>
    <w:rsid w:val="005665C0"/>
    <w:rsid w:val="00590B07"/>
    <w:rsid w:val="005A7AEE"/>
    <w:rsid w:val="005D65FC"/>
    <w:rsid w:val="0064336F"/>
    <w:rsid w:val="00644D7B"/>
    <w:rsid w:val="00720628"/>
    <w:rsid w:val="00753691"/>
    <w:rsid w:val="00773179"/>
    <w:rsid w:val="007F3C25"/>
    <w:rsid w:val="00841E81"/>
    <w:rsid w:val="008879FF"/>
    <w:rsid w:val="009408EC"/>
    <w:rsid w:val="00965E7D"/>
    <w:rsid w:val="00A84A8A"/>
    <w:rsid w:val="00AA29E0"/>
    <w:rsid w:val="00B30021"/>
    <w:rsid w:val="00B44409"/>
    <w:rsid w:val="00B779FA"/>
    <w:rsid w:val="00C06AFE"/>
    <w:rsid w:val="00C90A3B"/>
    <w:rsid w:val="00D33153"/>
    <w:rsid w:val="00D7329B"/>
    <w:rsid w:val="00ED2AA6"/>
    <w:rsid w:val="00F768E8"/>
    <w:rsid w:val="03822CFE"/>
    <w:rsid w:val="07F341CA"/>
    <w:rsid w:val="0B4D3012"/>
    <w:rsid w:val="0D4F6DA8"/>
    <w:rsid w:val="0ED90DC8"/>
    <w:rsid w:val="15CE2456"/>
    <w:rsid w:val="192B4E46"/>
    <w:rsid w:val="1A642CFE"/>
    <w:rsid w:val="1C9F5E1A"/>
    <w:rsid w:val="1FBC2C9C"/>
    <w:rsid w:val="27A40BE5"/>
    <w:rsid w:val="2F713AA3"/>
    <w:rsid w:val="345B5852"/>
    <w:rsid w:val="36A66F3E"/>
    <w:rsid w:val="402344B3"/>
    <w:rsid w:val="4BC65BF9"/>
    <w:rsid w:val="614E0C9F"/>
    <w:rsid w:val="61A72153"/>
    <w:rsid w:val="67450B86"/>
    <w:rsid w:val="69BF2A93"/>
    <w:rsid w:val="779B5C49"/>
    <w:rsid w:val="780F6F82"/>
    <w:rsid w:val="7A187BE7"/>
    <w:rsid w:val="7FE63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toc 3"/>
    <w:basedOn w:val="1"/>
    <w:next w:val="1"/>
    <w:qFormat/>
    <w:uiPriority w:val="0"/>
    <w:pPr>
      <w:tabs>
        <w:tab w:val="right" w:leader="dot" w:pos="9060"/>
      </w:tabs>
      <w:spacing w:line="360" w:lineRule="auto"/>
      <w:ind w:left="840" w:leftChars="4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</w:pPr>
    <w:rPr>
      <w:rFonts w:ascii="Times New Roman" w:hAnsi="Times New Roman" w:eastAsia="黑体" w:cs="Times New Roman"/>
      <w:bCs/>
      <w:kern w:val="0"/>
      <w:sz w:val="24"/>
      <w:szCs w:val="24"/>
      <w:lang w:val="zh-CN" w:eastAsia="zh-CN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article-size"/>
    <w:basedOn w:val="11"/>
    <w:qFormat/>
    <w:uiPriority w:val="0"/>
  </w:style>
  <w:style w:type="character" w:customStyle="1" w:styleId="15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5DBD6-DF42-4496-A3A5-BEEA166B6F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1908</Words>
  <Characters>2199</Characters>
  <Lines>8</Lines>
  <Paragraphs>2</Paragraphs>
  <TotalTime>18</TotalTime>
  <ScaleCrop>false</ScaleCrop>
  <LinksUpToDate>false</LinksUpToDate>
  <CharactersWithSpaces>2318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2021-09-26T08:06:00Z</dcterms:created>
  <dc:creator>hechuankai</dc:creator>
  <cp:lastModifiedBy>小雨豆</cp:lastModifiedBy>
  <cp:lastPrinted>2021-09-27T06:58:00Z</cp:lastPrinted>
  <dcterms:modified xsi:type="dcterms:W3CDTF">2023-06-30T04:48:27Z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7523B0E0D6FC41C2BEF942099540416E</vt:lpwstr>
  </property>
</Properties>
</file>