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0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河南省博物馆学会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课题</w:t>
      </w:r>
    </w:p>
    <w:p>
      <w:pPr>
        <w:spacing w:line="500" w:lineRule="exact"/>
        <w:ind w:firstLine="200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立项名单</w:t>
      </w:r>
      <w:bookmarkEnd w:id="0"/>
    </w:p>
    <w:p>
      <w:pPr>
        <w:spacing w:line="500" w:lineRule="exact"/>
        <w:ind w:firstLine="20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4"/>
        <w:tblW w:w="9250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5850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val="en-US" w:eastAsia="zh-CN"/>
              </w:rPr>
              <w:t>立项编号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HBXH-2023-01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中原文化基因密码在博物馆中的应用推广研究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丁  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HBXH-2023-02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河南博物院免费开放后发展研究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蔺永新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HBXH-2023-03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基于RMP分析的博物馆教育资源开发策略研究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杨  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HBXH-2023-04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世风世俗：河南博物院藏明代瓷器研究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朱宏秋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HBXH-2023-05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三门峡虢国墓地M2001出土玉器旧料改制情况新考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张晓蔚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HBXH-2023-06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古书画修复中的“全色”“接笔”伦理及操作要求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李耀华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HBXH-2023-07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ATR-FTIR无损快速鉴别书画文物材料的应用研究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金玉红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HBXH-2023-08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遗址博物馆青少年研学活动研究——基于郑州商都遗址博物院研学实践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李静兰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HBXH-2023-09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河南省不可移动革命文物保护传承及活化利用路径研究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庞倩华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HBXH-2023-10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高校行业特色博物馆青少年二十四节气研学课程研究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张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HBXH-2023-11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明晚期饶平窑青花瓷器纹饰研究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詹松镇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  <w:t>HBXH-2023-12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  <w:t>开封市博物馆馆史研究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  <w:t>盖  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HBXH-2023-13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网络直播背景下博物馆线上研学的实施路径研究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娄  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HBXH-2023-14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开封市博物馆藏宴台河女真进士碑研究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仝留洋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HBXH-2023-15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博物馆数字文创的价值体现和发展路径——以河南地区博物馆为例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白  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洪之霖治黄历史传承研究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徐兆强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HBXH-2023-17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安阳地区博物馆群体系建设策略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魏文萃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HBXH-2023-18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博物馆青少年研学活动设计开发与实践研究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杨小玉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HBXH-2023-19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浅析县级博物馆发展——以沁阳市博物馆为例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宋  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HBXH-2023-20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多元和一体——新媒体语境下博物馆文创产品IP化的实现路径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姚  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HBXH-2023-21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智慧博物馆的导览体系建设研究——以漯河市博物馆为例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张  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HBXH-2023-22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关于中小型博物馆智慧化建设的探讨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张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  <w:t>HBXH-2023-23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  <w:t>周口博物馆史研究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yellow"/>
                <w:lang w:val="en-US" w:eastAsia="zh-CN"/>
              </w:rPr>
              <w:t>姚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HBXH-2023-24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中小型博物馆新媒体传播研究——以驻马店地区博物馆为例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谢晋一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HBXH-2023-25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南阳市博物院展陈创新研究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王晓杰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HBXH-2023-26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汉代历史文化资源对南阳建设省域副中心城市的启示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林丽霞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HBXH-2023-27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南阳市博物院让文物活起来的路径探索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刘红玉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HBXH-2023-28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新时代中小型博物馆文创产业发展现状与优化策略研究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崔  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HBXH-2023-29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鄂豫晥苏区首府革命博物馆红色教育探索研究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陈  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HBXH-2023-30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馆藏脆弱青铜器修复保护与科技研究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>刘  群</w:t>
            </w:r>
          </w:p>
        </w:tc>
      </w:tr>
    </w:tbl>
    <w:p/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</w:docVars>
  <w:rsids>
    <w:rsidRoot w:val="00000000"/>
    <w:rsid w:val="6C6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2023-06-30T04:47:30Z</dcterms:created>
  <dc:creator>ZYH</dc:creator>
  <cp:lastModifiedBy>小雨豆</cp:lastModifiedBy>
  <dcterms:modified xsi:type="dcterms:W3CDTF">2023-06-30T04:47:42Z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158FC255BCE84CFDBC02F9AD02651BF4_12</vt:lpwstr>
  </property>
</Properties>
</file>